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Blog: Panama Residency by Investment Program (Decree 17 of 2026)</w:t>
      </w:r>
    </w:p>
    <w:p>
      <w:pPr/>
      <w:r>
        <w:t xml:space="preserve">Sep 17, 2026</w:t>
      </w:r>
      <w:r>
        <w:t xml:space="preserve"> · </w:t>
      </w:r>
      <w:r>
        <w:t xml:space="preserve">@Someone</w:t>
      </w:r>
    </w:p>
    <w:p>
      <w:pPr>
        <w:pStyle w:val="Heading2"/>
      </w:pPr>
      <w:r>
        <w:t xml:space="preserve">Section A: Technical SEO Sheet</w:t>
      </w:r>
    </w:p>
    <w:p>
      <w:pPr/>
      <w:r>
        <w:t xml:space="preserve">The post targets "panama residency by investment program" and is built to clear every Rank Math error reported: 1,634 words, 16 exact-match uses, 0.98% density.</w:t>
      </w:r>
    </w:p>
    <w:p>
      <w:pPr>
        <w:pStyle w:val="Heading3"/>
      </w:pPr>
      <w:r>
        <w:t xml:space="preserve">Core fields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Field</w:t>
            </w:r>
          </w:p>
        </w:tc>
        <w:tc>
          <w:tcPr>
            <w:tcW w:w="3120" w:type="dxa"/>
            <w:shd w:val="clear" w:color="auto" w:fill="F2F2F2"/>
          </w:tcPr>
          <w:p>
            <w:pPr/>
            <w:r>
              <w:t xml:space="preserve">Value</w:t>
            </w:r>
          </w:p>
        </w:tc>
        <w:tc>
          <w:tcPr>
            <w:tcW w:w="3120" w:type="dxa"/>
            <w:shd w:val="clear" w:color="auto" w:fill="F2F2F2"/>
          </w:tcPr>
          <w:p>
            <w:pPr/>
            <w:r>
              <w:t xml:space="preserve">Length</w:t>
            </w:r>
          </w:p>
        </w:tc>
      </w:tr>
      <w:tr>
        <w:tc>
          <w:tcPr>
            <w:tcW w:w="3120" w:type="dxa"/>
          </w:tcPr>
          <w:p>
            <w:pPr/>
            <w:r>
              <w:t xml:space="preserve">Focus keyword</w:t>
            </w:r>
          </w:p>
        </w:tc>
        <w:tc>
          <w:tcPr>
            <w:tcW w:w="3120" w:type="dxa"/>
          </w:tcPr>
          <w:p>
            <w:pPr/>
            <w:r>
              <w:t xml:space="preserve">panama residency by investment program</w:t>
            </w:r>
          </w:p>
        </w:tc>
        <w:tc>
          <w:tcPr>
            <w:tcW w:w="3120" w:type="dxa"/>
          </w:tcPr>
          <w:p>
            <w:pPr/>
            <w:r>
              <w:t xml:space="preserve">38 chars</w:t>
            </w:r>
          </w:p>
        </w:tc>
      </w:tr>
      <w:tr>
        <w:tc>
          <w:tcPr>
            <w:tcW w:w="3120" w:type="dxa"/>
          </w:tcPr>
          <w:p>
            <w:pPr/>
            <w:r>
              <w:t xml:space="preserve">SEO title</w:t>
            </w:r>
          </w:p>
        </w:tc>
        <w:tc>
          <w:tcPr>
            <w:tcW w:w="3120" w:type="dxa"/>
          </w:tcPr>
          <w:p>
            <w:pPr/>
            <w:r>
              <w:t xml:space="preserve">Panama Residency by Investment Program: 7 Powerful 2026 Changes</w:t>
            </w:r>
          </w:p>
        </w:tc>
        <w:tc>
          <w:tcPr>
            <w:tcW w:w="3120" w:type="dxa"/>
          </w:tcPr>
          <w:p>
            <w:pPr/>
            <w:r>
              <w:t xml:space="preserve">63 chars</w:t>
            </w:r>
          </w:p>
        </w:tc>
      </w:tr>
      <w:tr>
        <w:tc>
          <w:tcPr>
            <w:tcW w:w="3120" w:type="dxa"/>
          </w:tcPr>
          <w:p>
            <w:pPr/>
            <w:r>
              <w:t xml:space="preserve">H1</w:t>
            </w:r>
          </w:p>
        </w:tc>
        <w:tc>
          <w:tcPr>
            <w:tcW w:w="3120" w:type="dxa"/>
          </w:tcPr>
          <w:p>
            <w:pPr/>
            <w:r>
              <w:t xml:space="preserve">Panama Residency by Investment Program: What Changed in 2026</w:t>
            </w:r>
          </w:p>
        </w:tc>
        <w:tc>
          <w:tcPr>
            <w:tcW w:w="3120" w:type="dxa"/>
          </w:tcPr>
          <w:p>
            <w:pPr/>
            <w:r>
              <w:t xml:space="preserve">60 chars</w:t>
            </w:r>
          </w:p>
        </w:tc>
      </w:tr>
      <w:tr>
        <w:tc>
          <w:tcPr>
            <w:tcW w:w="3120" w:type="dxa"/>
          </w:tcPr>
          <w:p>
            <w:pPr/>
            <w:r>
              <w:t xml:space="preserve">Meta description</w:t>
            </w:r>
          </w:p>
        </w:tc>
        <w:tc>
          <w:tcPr>
            <w:tcW w:w="3120" w:type="dxa"/>
          </w:tcPr>
          <w:p>
            <w:pPr/>
            <w:r>
              <w:t xml:space="preserve">Panama residency by investment program updated: Decree 17 of 2026 sets new real estate, deposit and securities rules. Talk to our attorneys today.</w:t>
            </w:r>
          </w:p>
        </w:tc>
        <w:tc>
          <w:tcPr>
            <w:tcW w:w="3120" w:type="dxa"/>
          </w:tcPr>
          <w:p>
            <w:pPr/>
            <w:r>
              <w:t xml:space="preserve">146 chars</w:t>
            </w:r>
          </w:p>
        </w:tc>
      </w:tr>
      <w:tr>
        <w:tc>
          <w:tcPr>
            <w:tcW w:w="3120" w:type="dxa"/>
          </w:tcPr>
          <w:p>
            <w:pPr/>
            <w:r>
              <w:t xml:space="preserve">URL slug</w:t>
            </w:r>
          </w:p>
        </w:tc>
        <w:tc>
          <w:tcPr>
            <w:tcW w:w="3120" w:type="dxa"/>
          </w:tcPr>
          <w:p>
            <w:pPr/>
            <w:r>
              <w:t xml:space="preserve">/panama-residency-by-investment-program-2026/</w:t>
            </w:r>
          </w:p>
        </w:tc>
        <w:tc>
          <w:tcPr>
            <w:tcW w:w="3120" w:type="dxa"/>
          </w:tcPr>
          <w:p>
            <w:pPr/>
            <w:r>
              <w:t xml:space="preserve">43 chars</w:t>
            </w:r>
          </w:p>
        </w:tc>
      </w:tr>
      <w:tr>
        <w:tc>
          <w:tcPr>
            <w:tcW w:w="3120" w:type="dxa"/>
          </w:tcPr>
          <w:p>
            <w:pPr/>
            <w:r>
              <w:t xml:space="preserve">Excerpt</w:t>
            </w:r>
          </w:p>
        </w:tc>
        <w:tc>
          <w:tcPr>
            <w:tcW w:w="3120" w:type="dxa"/>
          </w:tcPr>
          <w:p>
            <w:pPr/>
            <w:r>
              <w:t xml:space="preserve">The Panama residency by investment program changed under Executive Decree 17 of 2026. See the new thresholds for property, deposits and securities.</w:t>
            </w:r>
          </w:p>
        </w:tc>
        <w:tc>
          <w:tcPr>
            <w:tcW w:w="3120" w:type="dxa"/>
          </w:tcPr>
          <w:p>
            <w:pPr/>
            <w:r>
              <w:t xml:space="preserve">148 chars</w:t>
            </w:r>
          </w:p>
        </w:tc>
      </w:tr>
      <w:tr>
        <w:tc>
          <w:tcPr>
            <w:tcW w:w="3120" w:type="dxa"/>
          </w:tcPr>
          <w:p>
            <w:pPr/>
            <w:r>
              <w:t xml:space="preserve">Schema</w:t>
            </w:r>
          </w:p>
        </w:tc>
        <w:tc>
          <w:tcPr>
            <w:tcW w:w="3120" w:type="dxa"/>
          </w:tcPr>
          <w:p>
            <w:pPr/>
            <w:r>
              <w:t xml:space="preserve">NewsArticle (author: NDM Law Firm &amp; Associates; datePublished: publication date)</w:t>
            </w:r>
          </w:p>
        </w:tc>
        <w:tc>
          <w:tcPr>
            <w:tcW w:w="3120" w:type="dxa"/>
          </w:tcPr>
          <w:p>
            <w:pPr/>
            <w:r>
              <w:t xml:space="preserve">n/a</w:t>
            </w:r>
          </w:p>
        </w:tc>
      </w:tr>
    </w:tbl>
    <w:p>
      <w:pPr/>
      <w:r>
        <w:t xml:space="preserve">The "7 changes" in the title map to: new property at $300,000, resale at $500,000, appraisal verification, pre-construction bank guarantees, $500,000 deposit in state banks, five-year securities holding, and citizenship plus new dependents.</w:t>
      </w:r>
    </w:p>
    <w:p>
      <w:pPr>
        <w:pStyle w:val="Heading3"/>
      </w:pPr>
      <w:r>
        <w:t xml:space="preserve">Rank Math checklist</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Rank Math check</w:t>
            </w:r>
          </w:p>
        </w:tc>
        <w:tc>
          <w:tcPr>
            <w:tcW w:w="4680" w:type="dxa"/>
            <w:shd w:val="clear" w:color="auto" w:fill="F2F2F2"/>
          </w:tcPr>
          <w:p>
            <w:pPr/>
            <w:r>
              <w:t xml:space="preserve">How it is met</w:t>
            </w:r>
          </w:p>
        </w:tc>
      </w:tr>
      <w:tr>
        <w:tc>
          <w:tcPr>
            <w:tcW w:w="4680" w:type="dxa"/>
          </w:tcPr>
          <w:p>
            <w:pPr/>
            <w:r>
              <w:t xml:space="preserve">Focus keyword set</w:t>
            </w:r>
          </w:p>
        </w:tc>
        <w:tc>
          <w:tcPr>
            <w:tcW w:w="4680" w:type="dxa"/>
          </w:tcPr>
          <w:p>
            <w:pPr/>
            <w:r>
              <w:t xml:space="preserve">panama residency by investment program</w:t>
            </w:r>
          </w:p>
        </w:tc>
      </w:tr>
      <w:tr>
        <w:tc>
          <w:tcPr>
            <w:tcW w:w="4680" w:type="dxa"/>
          </w:tcPr>
          <w:p>
            <w:pPr/>
            <w:r>
              <w:t xml:space="preserve">Keyword in SEO title</w:t>
            </w:r>
          </w:p>
        </w:tc>
        <w:tc>
          <w:tcPr>
            <w:tcW w:w="4680" w:type="dxa"/>
          </w:tcPr>
          <w:p>
            <w:pPr/>
            <w:r>
              <w:t xml:space="preserve">Yes, first 38 characters</w:t>
            </w:r>
          </w:p>
        </w:tc>
      </w:tr>
      <w:tr>
        <w:tc>
          <w:tcPr>
            <w:tcW w:w="4680" w:type="dxa"/>
          </w:tcPr>
          <w:p>
            <w:pPr/>
            <w:r>
              <w:t xml:space="preserve">Keyword near beginning of title</w:t>
            </w:r>
          </w:p>
        </w:tc>
        <w:tc>
          <w:tcPr>
            <w:tcW w:w="4680" w:type="dxa"/>
          </w:tcPr>
          <w:p>
            <w:pPr/>
            <w:r>
              <w:t xml:space="preserve">Yes, position 1</w:t>
            </w:r>
          </w:p>
        </w:tc>
      </w:tr>
      <w:tr>
        <w:tc>
          <w:tcPr>
            <w:tcW w:w="4680" w:type="dxa"/>
          </w:tcPr>
          <w:p>
            <w:pPr/>
            <w:r>
              <w:t xml:space="preserve">Keyword in meta description</w:t>
            </w:r>
          </w:p>
        </w:tc>
        <w:tc>
          <w:tcPr>
            <w:tcW w:w="4680" w:type="dxa"/>
          </w:tcPr>
          <w:p>
            <w:pPr/>
            <w:r>
              <w:t xml:space="preserve">Yes, opening words</w:t>
            </w:r>
          </w:p>
        </w:tc>
      </w:tr>
      <w:tr>
        <w:tc>
          <w:tcPr>
            <w:tcW w:w="4680" w:type="dxa"/>
          </w:tcPr>
          <w:p>
            <w:pPr/>
            <w:r>
              <w:t xml:space="preserve">Keyword in URL</w:t>
            </w:r>
          </w:p>
        </w:tc>
        <w:tc>
          <w:tcPr>
            <w:tcW w:w="4680" w:type="dxa"/>
          </w:tcPr>
          <w:p>
            <w:pPr/>
            <w:r>
              <w:t xml:space="preserve">Yes, slug above</w:t>
            </w:r>
          </w:p>
        </w:tc>
      </w:tr>
      <w:tr>
        <w:tc>
          <w:tcPr>
            <w:tcW w:w="4680" w:type="dxa"/>
          </w:tcPr>
          <w:p>
            <w:pPr/>
            <w:r>
              <w:t xml:space="preserve">Short URL</w:t>
            </w:r>
          </w:p>
        </w:tc>
        <w:tc>
          <w:tcPr>
            <w:tcW w:w="4680" w:type="dxa"/>
          </w:tcPr>
          <w:p>
            <w:pPr/>
            <w:r>
              <w:t xml:space="preserve">43 characters</w:t>
            </w:r>
          </w:p>
        </w:tc>
      </w:tr>
      <w:tr>
        <w:tc>
          <w:tcPr>
            <w:tcW w:w="4680" w:type="dxa"/>
          </w:tcPr>
          <w:p>
            <w:pPr/>
            <w:r>
              <w:t xml:space="preserve">Keyword at beginning of content</w:t>
            </w:r>
          </w:p>
        </w:tc>
        <w:tc>
          <w:tcPr>
            <w:tcW w:w="4680" w:type="dxa"/>
          </w:tcPr>
          <w:p>
            <w:pPr/>
            <w:r>
              <w:t xml:space="preserve">First sentence of the intro</w:t>
            </w:r>
          </w:p>
        </w:tc>
      </w:tr>
      <w:tr>
        <w:tc>
          <w:tcPr>
            <w:tcW w:w="4680" w:type="dxa"/>
          </w:tcPr>
          <w:p>
            <w:pPr/>
            <w:r>
              <w:t xml:space="preserve">Keyword in content</w:t>
            </w:r>
          </w:p>
        </w:tc>
        <w:tc>
          <w:tcPr>
            <w:tcW w:w="4680" w:type="dxa"/>
          </w:tcPr>
          <w:p>
            <w:pPr/>
            <w:r>
              <w:t xml:space="preserve">16 exact-match uses</w:t>
            </w:r>
          </w:p>
        </w:tc>
      </w:tr>
      <w:tr>
        <w:tc>
          <w:tcPr>
            <w:tcW w:w="4680" w:type="dxa"/>
          </w:tcPr>
          <w:p>
            <w:pPr/>
            <w:r>
              <w:t xml:space="preserve">Content length 600 to 2,500 words</w:t>
            </w:r>
          </w:p>
        </w:tc>
        <w:tc>
          <w:tcPr>
            <w:tcW w:w="4680" w:type="dxa"/>
          </w:tcPr>
          <w:p>
            <w:pPr/>
            <w:r>
              <w:t xml:space="preserve">1,634 words</w:t>
            </w:r>
          </w:p>
        </w:tc>
      </w:tr>
      <w:tr>
        <w:tc>
          <w:tcPr>
            <w:tcW w:w="4680" w:type="dxa"/>
          </w:tcPr>
          <w:p>
            <w:pPr/>
            <w:r>
              <w:t xml:space="preserve">Keyword density about 1%</w:t>
            </w:r>
          </w:p>
        </w:tc>
        <w:tc>
          <w:tcPr>
            <w:tcW w:w="4680" w:type="dxa"/>
          </w:tcPr>
          <w:p>
            <w:pPr/>
            <w:r>
              <w:t xml:space="preserve">0.98%</w:t>
            </w:r>
          </w:p>
        </w:tc>
      </w:tr>
      <w:tr>
        <w:tc>
          <w:tcPr>
            <w:tcW w:w="4680" w:type="dxa"/>
          </w:tcPr>
          <w:p>
            <w:pPr/>
            <w:r>
              <w:t xml:space="preserve">Keyword in subheadings</w:t>
            </w:r>
          </w:p>
        </w:tc>
        <w:tc>
          <w:tcPr>
            <w:tcW w:w="4680" w:type="dxa"/>
          </w:tcPr>
          <w:p>
            <w:pPr/>
            <w:r>
              <w:t xml:space="preserve">4 H2s contain it</w:t>
            </w:r>
          </w:p>
        </w:tc>
      </w:tr>
      <w:tr>
        <w:tc>
          <w:tcPr>
            <w:tcW w:w="4680" w:type="dxa"/>
          </w:tcPr>
          <w:p>
            <w:pPr/>
            <w:r>
              <w:t xml:space="preserve">Image alt with keyword</w:t>
            </w:r>
          </w:p>
        </w:tc>
        <w:tc>
          <w:tcPr>
            <w:tcW w:w="4680" w:type="dxa"/>
          </w:tcPr>
          <w:p>
            <w:pPr/>
            <w:r>
              <w:t xml:space="preserve">Image 1 alt text (see images table)</w:t>
            </w:r>
          </w:p>
        </w:tc>
      </w:tr>
      <w:tr>
        <w:tc>
          <w:tcPr>
            <w:tcW w:w="4680" w:type="dxa"/>
          </w:tcPr>
          <w:p>
            <w:pPr/>
            <w:r>
              <w:t xml:space="preserve">Number in title</w:t>
            </w:r>
          </w:p>
        </w:tc>
        <w:tc>
          <w:tcPr>
            <w:tcW w:w="4680" w:type="dxa"/>
          </w:tcPr>
          <w:p>
            <w:pPr/>
            <w:r>
              <w:t xml:space="preserve">7 and 2026</w:t>
            </w:r>
          </w:p>
        </w:tc>
      </w:tr>
      <w:tr>
        <w:tc>
          <w:tcPr>
            <w:tcW w:w="4680" w:type="dxa"/>
          </w:tcPr>
          <w:p>
            <w:pPr/>
            <w:r>
              <w:t xml:space="preserve">Power word in title</w:t>
            </w:r>
          </w:p>
        </w:tc>
        <w:tc>
          <w:tcPr>
            <w:tcW w:w="4680" w:type="dxa"/>
          </w:tcPr>
          <w:p>
            <w:pPr/>
            <w:r>
              <w:t xml:space="preserve">Powerful</w:t>
            </w:r>
          </w:p>
        </w:tc>
      </w:tr>
      <w:tr>
        <w:tc>
          <w:tcPr>
            <w:tcW w:w="4680" w:type="dxa"/>
          </w:tcPr>
          <w:p>
            <w:pPr/>
            <w:r>
              <w:t xml:space="preserve">Sentiment word in title</w:t>
            </w:r>
          </w:p>
        </w:tc>
        <w:tc>
          <w:tcPr>
            <w:tcW w:w="4680" w:type="dxa"/>
          </w:tcPr>
          <w:p>
            <w:pPr/>
            <w:r>
              <w:t xml:space="preserve">Powerful (positive)</w:t>
            </w:r>
          </w:p>
        </w:tc>
      </w:tr>
      <w:tr>
        <w:tc>
          <w:tcPr>
            <w:tcW w:w="4680" w:type="dxa"/>
          </w:tcPr>
          <w:p>
            <w:pPr/>
            <w:r>
              <w:t xml:space="preserve">Table of contents</w:t>
            </w:r>
          </w:p>
        </w:tc>
        <w:tc>
          <w:tcPr>
            <w:tcW w:w="4680" w:type="dxa"/>
          </w:tcPr>
          <w:p>
            <w:pPr/>
            <w:r>
              <w:t xml:space="preserve">Insert Rank Math TOC block at [TABLE OF CONTENTS] marker</w:t>
            </w:r>
          </w:p>
        </w:tc>
      </w:tr>
      <w:tr>
        <w:tc>
          <w:tcPr>
            <w:tcW w:w="4680" w:type="dxa"/>
          </w:tcPr>
          <w:p>
            <w:pPr/>
            <w:r>
              <w:t xml:space="preserve">Short paragraphs</w:t>
            </w:r>
          </w:p>
        </w:tc>
        <w:tc>
          <w:tcPr>
            <w:tcW w:w="4680" w:type="dxa"/>
          </w:tcPr>
          <w:p>
            <w:pPr/>
            <w:r>
              <w:t xml:space="preserve">Maximum 3 sentences per paragraph</w:t>
            </w:r>
          </w:p>
        </w:tc>
      </w:tr>
      <w:tr>
        <w:tc>
          <w:tcPr>
            <w:tcW w:w="4680" w:type="dxa"/>
          </w:tcPr>
          <w:p>
            <w:pPr/>
            <w:r>
              <w:t xml:space="preserve">Images or video</w:t>
            </w:r>
          </w:p>
        </w:tc>
        <w:tc>
          <w:tcPr>
            <w:tcW w:w="4680" w:type="dxa"/>
          </w:tcPr>
          <w:p>
            <w:pPr/>
            <w:r>
              <w:t xml:space="preserve">3 images plus 1 optional video</w:t>
            </w:r>
          </w:p>
        </w:tc>
      </w:tr>
      <w:tr>
        <w:tc>
          <w:tcPr>
            <w:tcW w:w="4680" w:type="dxa"/>
          </w:tcPr>
          <w:p>
            <w:pPr/>
            <w:r>
              <w:t xml:space="preserve">External links, DoFollow</w:t>
            </w:r>
          </w:p>
        </w:tc>
        <w:tc>
          <w:tcPr>
            <w:tcW w:w="4680" w:type="dxa"/>
          </w:tcPr>
          <w:p>
            <w:pPr/>
            <w:r>
              <w:t xml:space="preserve">7 official sources, all DoFollow</w:t>
            </w:r>
          </w:p>
        </w:tc>
      </w:tr>
      <w:tr>
        <w:tc>
          <w:tcPr>
            <w:tcW w:w="4680" w:type="dxa"/>
          </w:tcPr>
          <w:p>
            <w:pPr/>
            <w:r>
              <w:t xml:space="preserve">Internal links</w:t>
            </w:r>
          </w:p>
        </w:tc>
        <w:tc>
          <w:tcPr>
            <w:tcW w:w="4680" w:type="dxa"/>
          </w:tcPr>
          <w:p>
            <w:pPr/>
            <w:r>
              <w:t xml:space="preserve">6 internal links</w:t>
            </w:r>
          </w:p>
        </w:tc>
      </w:tr>
    </w:tbl>
    <w:p>
      <w:pPr>
        <w:pStyle w:val="Heading3"/>
      </w:pPr>
      <w:r>
        <w:t xml:space="preserve">Heading map</w:t>
      </w:r>
    </w:p>
    <w:p>
      <w:pPr/>
      <w:r>
        <w:t xml:space="preserve">Every H2 carries two or more H3s. Questions sit inside the body as H3s instead of a separate FAQ block, to capture People Also Ask and AI answer snippets.</w:t>
      </w:r>
    </w:p>
    <w:p>
      <w:pPr>
        <w:pStyle w:val="ListParagraph"/>
        <w:numPr>
          <w:ilvl w:val="0"/>
          <w:numId w:val="2"/>
        </w:numPr>
      </w:pPr>
      <w:r>
        <w:t xml:space="preserve">H2: Why the Panama Residency by Investment Program Changed in 2026</w:t>
      </w:r>
    </w:p>
    <w:p>
      <w:pPr>
        <w:pStyle w:val="ListParagraph"/>
        <w:numPr>
          <w:ilvl w:val="1"/>
          <w:numId w:val="3"/>
        </w:numPr>
      </w:pPr>
      <w:r>
        <w:t xml:space="preserve">H3: From Market Rumors to an Official Decree</w:t>
      </w:r>
    </w:p>
    <w:p>
      <w:pPr>
        <w:pStyle w:val="ListParagraph"/>
        <w:numPr>
          <w:ilvl w:val="1"/>
          <w:numId w:val="3"/>
        </w:numPr>
      </w:pPr>
      <w:r>
        <w:t xml:space="preserve">H3: The Government's Stated Objectives</w:t>
      </w:r>
    </w:p>
    <w:p>
      <w:pPr>
        <w:pStyle w:val="ListParagraph"/>
        <w:numPr>
          <w:ilvl w:val="0"/>
          <w:numId w:val="2"/>
        </w:numPr>
      </w:pPr>
      <w:r>
        <w:t xml:space="preserve">H2: Real Estate Rules in the Panama Residency by Investment Program</w:t>
      </w:r>
    </w:p>
    <w:p>
      <w:pPr>
        <w:pStyle w:val="ListParagraph"/>
        <w:numPr>
          <w:ilvl w:val="1"/>
          <w:numId w:val="4"/>
        </w:numPr>
      </w:pPr>
      <w:r>
        <w:t xml:space="preserve">H3: New Property: $300,000 Minimum</w:t>
      </w:r>
    </w:p>
    <w:p>
      <w:pPr>
        <w:pStyle w:val="ListParagraph"/>
        <w:numPr>
          <w:ilvl w:val="1"/>
          <w:numId w:val="4"/>
        </w:numPr>
      </w:pPr>
      <w:r>
        <w:t xml:space="preserve">H3: Does a $300,000 Resale Property Still Qualify?</w:t>
      </w:r>
    </w:p>
    <w:p>
      <w:pPr>
        <w:pStyle w:val="ListParagraph"/>
        <w:numPr>
          <w:ilvl w:val="1"/>
          <w:numId w:val="4"/>
        </w:numPr>
      </w:pPr>
      <w:r>
        <w:t xml:space="preserve">H3: How the Property Value Is Now Verified</w:t>
      </w:r>
    </w:p>
    <w:p>
      <w:pPr>
        <w:pStyle w:val="ListParagraph"/>
        <w:numPr>
          <w:ilvl w:val="1"/>
          <w:numId w:val="4"/>
        </w:numPr>
      </w:pPr>
      <w:r>
        <w:t xml:space="preserve">H3: Pre-Construction Purchases: New Bank Guarantee Rules</w:t>
      </w:r>
    </w:p>
    <w:p>
      <w:pPr>
        <w:pStyle w:val="ListParagraph"/>
        <w:numPr>
          <w:ilvl w:val="0"/>
          <w:numId w:val="2"/>
        </w:numPr>
      </w:pPr>
      <w:r>
        <w:t xml:space="preserve">H2: Fixed-Term Deposits: A New Option From $500,000</w:t>
      </w:r>
    </w:p>
    <w:p>
      <w:pPr>
        <w:pStyle w:val="ListParagraph"/>
        <w:numPr>
          <w:ilvl w:val="1"/>
          <w:numId w:val="5"/>
        </w:numPr>
      </w:pPr>
      <w:r>
        <w:t xml:space="preserve">H3: $750,000 in Private Banks</w:t>
      </w:r>
    </w:p>
    <w:p>
      <w:pPr>
        <w:pStyle w:val="ListParagraph"/>
        <w:numPr>
          <w:ilvl w:val="1"/>
          <w:numId w:val="5"/>
        </w:numPr>
      </w:pPr>
      <w:r>
        <w:t xml:space="preserve">H3: $500,000 in Banco Nacional or Caja de Ahorros</w:t>
      </w:r>
    </w:p>
    <w:p>
      <w:pPr>
        <w:pStyle w:val="ListParagraph"/>
        <w:numPr>
          <w:ilvl w:val="0"/>
          <w:numId w:val="2"/>
        </w:numPr>
      </w:pPr>
      <w:r>
        <w:t xml:space="preserve">H2: Securities Investments in the Panamanian Market</w:t>
      </w:r>
    </w:p>
    <w:p>
      <w:pPr>
        <w:pStyle w:val="ListParagraph"/>
        <w:numPr>
          <w:ilvl w:val="1"/>
          <w:numId w:val="6"/>
        </w:numPr>
      </w:pPr>
      <w:r>
        <w:t xml:space="preserve">H3: Minimum Amount and Holding Period</w:t>
      </w:r>
    </w:p>
    <w:p>
      <w:pPr>
        <w:pStyle w:val="ListParagraph"/>
        <w:numPr>
          <w:ilvl w:val="1"/>
          <w:numId w:val="6"/>
        </w:numPr>
      </w:pPr>
      <w:r>
        <w:t xml:space="preserve">H3: Eligible Instruments and Market Fluctuations</w:t>
      </w:r>
    </w:p>
    <w:p>
      <w:pPr>
        <w:pStyle w:val="ListParagraph"/>
        <w:numPr>
          <w:ilvl w:val="0"/>
          <w:numId w:val="2"/>
        </w:numPr>
      </w:pPr>
      <w:r>
        <w:t xml:space="preserve">H2: Your Immigration Status Under the Panama Residency by Investment Program</w:t>
      </w:r>
    </w:p>
    <w:p>
      <w:pPr>
        <w:pStyle w:val="ListParagraph"/>
        <w:numPr>
          <w:ilvl w:val="1"/>
          <w:numId w:val="7"/>
        </w:numPr>
      </w:pPr>
      <w:r>
        <w:t xml:space="preserve">H3: Can You Apply From Abroad?</w:t>
      </w:r>
    </w:p>
    <w:p>
      <w:pPr>
        <w:pStyle w:val="ListParagraph"/>
        <w:numPr>
          <w:ilvl w:val="1"/>
          <w:numId w:val="7"/>
        </w:numPr>
      </w:pPr>
      <w:r>
        <w:t xml:space="preserve">H3: How Do You Keep Your Residency?</w:t>
      </w:r>
    </w:p>
    <w:p>
      <w:pPr>
        <w:pStyle w:val="ListParagraph"/>
        <w:numPr>
          <w:ilvl w:val="1"/>
          <w:numId w:val="7"/>
        </w:numPr>
      </w:pPr>
      <w:r>
        <w:t xml:space="preserve">H3: A Path to Citizenship and New Dependents</w:t>
      </w:r>
    </w:p>
    <w:p>
      <w:pPr>
        <w:pStyle w:val="ListParagraph"/>
        <w:numPr>
          <w:ilvl w:val="0"/>
          <w:numId w:val="2"/>
        </w:numPr>
      </w:pPr>
      <w:r>
        <w:t xml:space="preserve">H2: Applications and Investments Made Before the Decree</w:t>
      </w:r>
    </w:p>
    <w:p>
      <w:pPr>
        <w:pStyle w:val="ListParagraph"/>
        <w:numPr>
          <w:ilvl w:val="1"/>
          <w:numId w:val="8"/>
        </w:numPr>
      </w:pPr>
      <w:r>
        <w:t xml:space="preserve">H3: What Happens to Pending Applications?</w:t>
      </w:r>
    </w:p>
    <w:p>
      <w:pPr>
        <w:pStyle w:val="ListParagraph"/>
        <w:numPr>
          <w:ilvl w:val="1"/>
          <w:numId w:val="8"/>
        </w:numPr>
      </w:pPr>
      <w:r>
        <w:t xml:space="preserve">H3: The Six-Month Window for Prior Investments</w:t>
      </w:r>
    </w:p>
    <w:p>
      <w:pPr>
        <w:pStyle w:val="ListParagraph"/>
        <w:numPr>
          <w:ilvl w:val="1"/>
          <w:numId w:val="8"/>
        </w:numPr>
      </w:pPr>
      <w:r>
        <w:t xml:space="preserve">H3: Converting From Economic Solvency Residency</w:t>
      </w:r>
    </w:p>
    <w:p>
      <w:pPr>
        <w:pStyle w:val="ListParagraph"/>
        <w:numPr>
          <w:ilvl w:val="0"/>
          <w:numId w:val="2"/>
        </w:numPr>
      </w:pPr>
      <w:r>
        <w:t xml:space="preserve">H2: Plan Your Investment With NDM Law Firm &amp; Associates</w:t>
      </w:r>
    </w:p>
    <w:p>
      <w:pPr>
        <w:pStyle w:val="ListParagraph"/>
        <w:numPr>
          <w:ilvl w:val="1"/>
          <w:numId w:val="9"/>
        </w:numPr>
      </w:pPr>
      <w:r>
        <w:t xml:space="preserve">H3: Why Legal Guidance Matters More Now</w:t>
      </w:r>
    </w:p>
    <w:p>
      <w:pPr>
        <w:pStyle w:val="ListParagraph"/>
        <w:numPr>
          <w:ilvl w:val="1"/>
          <w:numId w:val="9"/>
        </w:numPr>
      </w:pPr>
      <w:r>
        <w:t xml:space="preserve">H3: How Our Immigration Team Supports You</w:t>
      </w:r>
    </w:p>
    <w:p>
      <w:pPr>
        <w:pStyle w:val="Heading3"/>
      </w:pPr>
      <w:r>
        <w:t xml:space="preserve">Internal links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Anchor text</w:t>
            </w:r>
          </w:p>
        </w:tc>
        <w:tc>
          <w:tcPr>
            <w:tcW w:w="3120" w:type="dxa"/>
            <w:shd w:val="clear" w:color="auto" w:fill="F2F2F2"/>
          </w:tcPr>
          <w:p>
            <w:pPr/>
            <w:r>
              <w:t xml:space="preserve">Destination</w:t>
            </w:r>
          </w:p>
        </w:tc>
        <w:tc>
          <w:tcPr>
            <w:tcW w:w="3120" w:type="dxa"/>
            <w:shd w:val="clear" w:color="auto" w:fill="F2F2F2"/>
          </w:tcPr>
          <w:p>
            <w:pPr/>
            <w:r>
              <w:t xml:space="preserve">Placement</w:t>
            </w:r>
          </w:p>
        </w:tc>
      </w:tr>
      <w:tr>
        <w:tc>
          <w:tcPr>
            <w:tcW w:w="3120" w:type="dxa"/>
          </w:tcPr>
          <w:p>
            <w:pPr/>
            <w:r>
              <w:t xml:space="preserve">Executive Decree No. 17 of September 8, 2026</w:t>
            </w:r>
          </w:p>
        </w:tc>
        <w:tc>
          <w:tcPr>
            <w:tcW w:w="3120" w:type="dxa"/>
          </w:tcPr>
          <w:p>
            <w:pPr/>
            <w:r>
              <w:t xml:space="preserve">Decree PDF (URL pending upload)</w:t>
            </w:r>
          </w:p>
        </w:tc>
        <w:tc>
          <w:tcPr>
            <w:tcW w:w="3120" w:type="dxa"/>
          </w:tcPr>
          <w:p>
            <w:pPr/>
            <w:r>
              <w:t xml:space="preserve">Resource box, top</w:t>
            </w:r>
          </w:p>
        </w:tc>
      </w:tr>
      <w:tr>
        <w:tc>
          <w:tcPr>
            <w:tcW w:w="3120" w:type="dxa"/>
          </w:tcPr>
          <w:p>
            <w:pPr/>
            <w:r>
              <w:t xml:space="preserve">Panama Golden Visa 2026 update</w:t>
            </w:r>
          </w:p>
        </w:tc>
        <w:tc>
          <w:tcPr>
            <w:tcW w:w="3120" w:type="dxa"/>
          </w:tcPr>
          <w:p>
            <w:pPr/>
            <w:r>
              <w:t xml:space="preserve">Golden Visa update post (URL pending)</w:t>
            </w:r>
          </w:p>
        </w:tc>
        <w:tc>
          <w:tcPr>
            <w:tcW w:w="3120" w:type="dxa"/>
          </w:tcPr>
          <w:p>
            <w:pPr/>
            <w:r>
              <w:t xml:space="preserve">Intro, paragraph 3</w:t>
            </w:r>
          </w:p>
        </w:tc>
      </w:tr>
      <w:tr>
        <w:tc>
          <w:tcPr>
            <w:tcW w:w="3120" w:type="dxa"/>
          </w:tcPr>
          <w:p>
            <w:pPr/>
            <w:r>
              <w:t xml:space="preserve">real estate due diligence</w:t>
            </w:r>
          </w:p>
        </w:tc>
        <w:tc>
          <w:tcPr>
            <w:tcW w:w="3120" w:type="dxa"/>
          </w:tcPr>
          <w:p>
            <w:pPr/>
            <w:r>
              <w:t xml:space="preserve">Real estate due diligence page (URL pending)</w:t>
            </w:r>
          </w:p>
        </w:tc>
        <w:tc>
          <w:tcPr>
            <w:tcW w:w="3120" w:type="dxa"/>
          </w:tcPr>
          <w:p>
            <w:pPr/>
            <w:r>
              <w:t xml:space="preserve">Property value section</w:t>
            </w:r>
          </w:p>
        </w:tc>
      </w:tr>
      <w:tr>
        <w:tc>
          <w:tcPr>
            <w:tcW w:w="3120" w:type="dxa"/>
          </w:tcPr>
          <w:p>
            <w:pPr/>
            <w:r>
              <w:t xml:space="preserve">citizenship in Panama</w:t>
            </w:r>
          </w:p>
        </w:tc>
        <w:tc>
          <w:tcPr>
            <w:tcW w:w="3120" w:type="dxa"/>
          </w:tcPr>
          <w:p>
            <w:pPr/>
            <w:r>
              <w:t xml:space="preserve">/citizenship-in-panama/</w:t>
            </w:r>
          </w:p>
        </w:tc>
        <w:tc>
          <w:tcPr>
            <w:tcW w:w="3120" w:type="dxa"/>
          </w:tcPr>
          <w:p>
            <w:pPr/>
            <w:r>
              <w:t xml:space="preserve">Citizenship section</w:t>
            </w:r>
          </w:p>
        </w:tc>
      </w:tr>
      <w:tr>
        <w:tc>
          <w:tcPr>
            <w:tcW w:w="3120" w:type="dxa"/>
          </w:tcPr>
          <w:p>
            <w:pPr/>
            <w:r>
              <w:t xml:space="preserve">Panama permanent resident card</w:t>
            </w:r>
          </w:p>
        </w:tc>
        <w:tc>
          <w:tcPr>
            <w:tcW w:w="3120" w:type="dxa"/>
          </w:tcPr>
          <w:p>
            <w:pPr/>
            <w:r>
              <w:t xml:space="preserve">/permanent-resident-card/</w:t>
            </w:r>
          </w:p>
        </w:tc>
        <w:tc>
          <w:tcPr>
            <w:tcW w:w="3120" w:type="dxa"/>
          </w:tcPr>
          <w:p>
            <w:pPr/>
            <w:r>
              <w:t xml:space="preserve">Citizenship section</w:t>
            </w:r>
          </w:p>
        </w:tc>
      </w:tr>
      <w:tr>
        <w:tc>
          <w:tcPr>
            <w:tcW w:w="3120" w:type="dxa"/>
          </w:tcPr>
          <w:p>
            <w:pPr/>
            <w:r>
              <w:t xml:space="preserve">Panama residency visa services</w:t>
            </w:r>
          </w:p>
        </w:tc>
        <w:tc>
          <w:tcPr>
            <w:tcW w:w="3120" w:type="dxa"/>
          </w:tcPr>
          <w:p>
            <w:pPr/>
            <w:r>
              <w:t xml:space="preserve">/legal-services/labor-immigration-law/panama-residency-visa/</w:t>
            </w:r>
          </w:p>
        </w:tc>
        <w:tc>
          <w:tcPr>
            <w:tcW w:w="3120" w:type="dxa"/>
          </w:tcPr>
          <w:p>
            <w:pPr/>
            <w:r>
              <w:t xml:space="preserve">Closing CTA</w:t>
            </w:r>
          </w:p>
        </w:tc>
      </w:tr>
      <w:tr>
        <w:tc>
          <w:tcPr>
            <w:tcW w:w="3120" w:type="dxa"/>
          </w:tcPr>
          <w:p>
            <w:pPr/>
            <w:r>
              <w:t xml:space="preserve">Contact our immigration attorneys</w:t>
            </w:r>
          </w:p>
        </w:tc>
        <w:tc>
          <w:tcPr>
            <w:tcW w:w="3120" w:type="dxa"/>
          </w:tcPr>
          <w:p>
            <w:pPr/>
            <w:r>
              <w:t xml:space="preserve">Contact page (URL pending)</w:t>
            </w:r>
          </w:p>
        </w:tc>
        <w:tc>
          <w:tcPr>
            <w:tcW w:w="3120" w:type="dxa"/>
          </w:tcPr>
          <w:p>
            <w:pPr/>
            <w:r>
              <w:t xml:space="preserve">Closing CTA</w:t>
            </w:r>
          </w:p>
        </w:tc>
      </w:tr>
    </w:tbl>
    <w:p>
      <w:pPr/>
      <w:r>
        <w:t xml:space="preserve">Also add a link from the Golden Visa update post back to this article, with the anchor "Panama residency by investment program", to close the cluster.</w:t>
      </w:r>
    </w:p>
    <w:p>
      <w:pPr>
        <w:pStyle w:val="Heading3"/>
      </w:pPr>
      <w:r>
        <w:t xml:space="preserve">External links (all DoFollow, open in new tab)</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Anchor text</w:t>
            </w:r>
          </w:p>
        </w:tc>
        <w:tc>
          <w:tcPr>
            <w:tcW w:w="4680" w:type="dxa"/>
            <w:shd w:val="clear" w:color="auto" w:fill="F2F2F2"/>
          </w:tcPr>
          <w:p>
            <w:pPr/>
            <w:r>
              <w:t xml:space="preserve">URL</w:t>
            </w:r>
          </w:p>
        </w:tc>
      </w:tr>
      <w:tr>
        <w:tc>
          <w:tcPr>
            <w:tcW w:w="4680" w:type="dxa"/>
          </w:tcPr>
          <w:p>
            <w:pPr/>
            <w:r>
              <w:t xml:space="preserve">Official Gazette of Panama</w:t>
            </w:r>
          </w:p>
        </w:tc>
        <w:tc>
          <w:tcPr>
            <w:tcW w:w="4680" w:type="dxa"/>
          </w:tcPr>
          <w:p>
            <w:pPr/>
            <w:r>
              <w:t xml:space="preserve">https://www.gacetaoficial.gob.pa/</w:t>
            </w:r>
          </w:p>
        </w:tc>
      </w:tr>
      <w:tr>
        <w:tc>
          <w:tcPr>
            <w:tcW w:w="4680" w:type="dxa"/>
          </w:tcPr>
          <w:p>
            <w:pPr/>
            <w:r>
              <w:t xml:space="preserve">ANATI</w:t>
            </w:r>
          </w:p>
        </w:tc>
        <w:tc>
          <w:tcPr>
            <w:tcW w:w="4680" w:type="dxa"/>
          </w:tcPr>
          <w:p>
            <w:pPr/>
            <w:r>
              <w:t xml:space="preserve">https://anati.gob.pa/</w:t>
            </w:r>
          </w:p>
        </w:tc>
      </w:tr>
      <w:tr>
        <w:tc>
          <w:tcPr>
            <w:tcW w:w="4680" w:type="dxa"/>
          </w:tcPr>
          <w:p>
            <w:pPr/>
            <w:r>
              <w:t xml:space="preserve">Ministry of Commerce and Industries (MICI)</w:t>
            </w:r>
          </w:p>
        </w:tc>
        <w:tc>
          <w:tcPr>
            <w:tcW w:w="4680" w:type="dxa"/>
          </w:tcPr>
          <w:p>
            <w:pPr/>
            <w:r>
              <w:t xml:space="preserve">https://mici.gob.pa/</w:t>
            </w:r>
          </w:p>
        </w:tc>
      </w:tr>
      <w:tr>
        <w:tc>
          <w:tcPr>
            <w:tcW w:w="4680" w:type="dxa"/>
          </w:tcPr>
          <w:p>
            <w:pPr/>
            <w:r>
              <w:t xml:space="preserve">Banco Nacional de Panamá</w:t>
            </w:r>
          </w:p>
        </w:tc>
        <w:tc>
          <w:tcPr>
            <w:tcW w:w="4680" w:type="dxa"/>
          </w:tcPr>
          <w:p>
            <w:pPr/>
            <w:r>
              <w:t xml:space="preserve">https://www.banconal.com.pa/</w:t>
            </w:r>
          </w:p>
        </w:tc>
      </w:tr>
      <w:tr>
        <w:tc>
          <w:tcPr>
            <w:tcW w:w="4680" w:type="dxa"/>
          </w:tcPr>
          <w:p>
            <w:pPr/>
            <w:r>
              <w:t xml:space="preserve">Caja de Ahorros</w:t>
            </w:r>
          </w:p>
        </w:tc>
        <w:tc>
          <w:tcPr>
            <w:tcW w:w="4680" w:type="dxa"/>
          </w:tcPr>
          <w:p>
            <w:pPr/>
            <w:r>
              <w:t xml:space="preserve">https://www.cajadeahorros.com.pa/</w:t>
            </w:r>
          </w:p>
        </w:tc>
      </w:tr>
      <w:tr>
        <w:tc>
          <w:tcPr>
            <w:tcW w:w="4680" w:type="dxa"/>
          </w:tcPr>
          <w:p>
            <w:pPr/>
            <w:r>
              <w:t xml:space="preserve">Superintendency of the Securities Market</w:t>
            </w:r>
          </w:p>
        </w:tc>
        <w:tc>
          <w:tcPr>
            <w:tcW w:w="4680" w:type="dxa"/>
          </w:tcPr>
          <w:p>
            <w:pPr/>
            <w:r>
              <w:t xml:space="preserve">https://supervalores.gob.pa/</w:t>
            </w:r>
          </w:p>
        </w:tc>
      </w:tr>
      <w:tr>
        <w:tc>
          <w:tcPr>
            <w:tcW w:w="4680" w:type="dxa"/>
          </w:tcPr>
          <w:p>
            <w:pPr/>
            <w:r>
              <w:t xml:space="preserve">National Immigration Service</w:t>
            </w:r>
          </w:p>
        </w:tc>
        <w:tc>
          <w:tcPr>
            <w:tcW w:w="4680" w:type="dxa"/>
          </w:tcPr>
          <w:p>
            <w:pPr/>
            <w:r>
              <w:t xml:space="preserve">https://www.migracion.gob.pa/</w:t>
            </w:r>
          </w:p>
        </w:tc>
      </w:tr>
    </w:tbl>
    <w:p>
      <w:pPr/>
      <w:r>
        <w:t xml:space="preserve">Check each URL resolves before publishing; if a government site is down, keep the link but verify again after publication.</w:t>
      </w:r>
    </w:p>
    <w:p>
      <w:pPr>
        <w:pStyle w:val="Heading3"/>
      </w:pPr>
      <w:r>
        <w:t xml:space="preserve">Images and video</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Marker</w:t>
            </w:r>
          </w:p>
        </w:tc>
        <w:tc>
          <w:tcPr>
            <w:tcW w:w="2340" w:type="dxa"/>
            <w:shd w:val="clear" w:color="auto" w:fill="F2F2F2"/>
          </w:tcPr>
          <w:p>
            <w:pPr/>
            <w:r>
              <w:t xml:space="preserve">Suggested image</w:t>
            </w:r>
          </w:p>
        </w:tc>
        <w:tc>
          <w:tcPr>
            <w:tcW w:w="2340" w:type="dxa"/>
            <w:shd w:val="clear" w:color="auto" w:fill="F2F2F2"/>
          </w:tcPr>
          <w:p>
            <w:pPr/>
            <w:r>
              <w:t xml:space="preserve">File name</w:t>
            </w:r>
          </w:p>
        </w:tc>
        <w:tc>
          <w:tcPr>
            <w:tcW w:w="2340" w:type="dxa"/>
            <w:shd w:val="clear" w:color="auto" w:fill="F2F2F2"/>
          </w:tcPr>
          <w:p>
            <w:pPr/>
            <w:r>
              <w:t xml:space="preserve">Alt text</w:t>
            </w:r>
          </w:p>
        </w:tc>
      </w:tr>
      <w:tr>
        <w:tc>
          <w:tcPr>
            <w:tcW w:w="2340" w:type="dxa"/>
          </w:tcPr>
          <w:p>
            <w:pPr/>
            <w:r>
              <w:t xml:space="preserve">[IMAGE 1]</w:t>
            </w:r>
          </w:p>
        </w:tc>
        <w:tc>
          <w:tcPr>
            <w:tcW w:w="2340" w:type="dxa"/>
          </w:tcPr>
          <w:p>
            <w:pPr/>
            <w:r>
              <w:t xml:space="preserve">Panama City skyline, Punta Pacifica towers</w:t>
            </w:r>
          </w:p>
        </w:tc>
        <w:tc>
          <w:tcPr>
            <w:tcW w:w="2340" w:type="dxa"/>
          </w:tcPr>
          <w:p>
            <w:pPr/>
            <w:r>
              <w:t xml:space="preserve">panama-residency-by-investment-program-2026.webp</w:t>
            </w:r>
          </w:p>
        </w:tc>
        <w:tc>
          <w:tcPr>
            <w:tcW w:w="2340" w:type="dxa"/>
          </w:tcPr>
          <w:p>
            <w:pPr/>
            <w:r>
              <w:t xml:space="preserve">Panama residency by investment program 2026 changes</w:t>
            </w:r>
          </w:p>
        </w:tc>
      </w:tr>
      <w:tr>
        <w:tc>
          <w:tcPr>
            <w:tcW w:w="2340" w:type="dxa"/>
          </w:tcPr>
          <w:p>
            <w:pPr/>
            <w:r>
              <w:t xml:space="preserve">[IMAGE 2]</w:t>
            </w:r>
          </w:p>
        </w:tc>
        <w:tc>
          <w:tcPr>
            <w:tcW w:w="2340" w:type="dxa"/>
          </w:tcPr>
          <w:p>
            <w:pPr/>
            <w:r>
              <w:t xml:space="preserve">New residential tower under construction in Panama City</w:t>
            </w:r>
          </w:p>
        </w:tc>
        <w:tc>
          <w:tcPr>
            <w:tcW w:w="2340" w:type="dxa"/>
          </w:tcPr>
          <w:p>
            <w:pPr/>
            <w:r>
              <w:t xml:space="preserve">panama-new-property-qualified-investor.webp</w:t>
            </w:r>
          </w:p>
        </w:tc>
        <w:tc>
          <w:tcPr>
            <w:tcW w:w="2340" w:type="dxa"/>
          </w:tcPr>
          <w:p>
            <w:pPr/>
            <w:r>
              <w:t xml:space="preserve">New property purchase for Panama qualified investor residency</w:t>
            </w:r>
          </w:p>
        </w:tc>
      </w:tr>
      <w:tr>
        <w:tc>
          <w:tcPr>
            <w:tcW w:w="2340" w:type="dxa"/>
          </w:tcPr>
          <w:p>
            <w:pPr/>
            <w:r>
              <w:t xml:space="preserve">[IMAGE 3]</w:t>
            </w:r>
          </w:p>
        </w:tc>
        <w:tc>
          <w:tcPr>
            <w:tcW w:w="2340" w:type="dxa"/>
          </w:tcPr>
          <w:p>
            <w:pPr/>
            <w:r>
              <w:t xml:space="preserve">Attorney reviewing investment documents with a client</w:t>
            </w:r>
          </w:p>
        </w:tc>
        <w:tc>
          <w:tcPr>
            <w:tcW w:w="2340" w:type="dxa"/>
          </w:tcPr>
          <w:p>
            <w:pPr/>
            <w:r>
              <w:t xml:space="preserve">ndm-attorney-investor-residency-review.webp</w:t>
            </w:r>
          </w:p>
        </w:tc>
        <w:tc>
          <w:tcPr>
            <w:tcW w:w="2340" w:type="dxa"/>
          </w:tcPr>
          <w:p>
            <w:pPr/>
            <w:r>
              <w:t xml:space="preserve">NDM attorney reviewing a Qualified Investor application</w:t>
            </w:r>
          </w:p>
        </w:tc>
      </w:tr>
      <w:tr>
        <w:tc>
          <w:tcPr>
            <w:tcW w:w="2340" w:type="dxa"/>
          </w:tcPr>
          <w:p>
            <w:pPr/>
            <w:r>
              <w:t xml:space="preserve">Optional video</w:t>
            </w:r>
          </w:p>
        </w:tc>
        <w:tc>
          <w:tcPr>
            <w:tcW w:w="2340" w:type="dxa"/>
          </w:tcPr>
          <w:p>
            <w:pPr/>
            <w:r>
              <w:t xml:space="preserve">NDM attorney explaining Decree 17 in 60 to 90 seconds, embedded after the immigration status H2</w:t>
            </w:r>
          </w:p>
        </w:tc>
        <w:tc>
          <w:tcPr>
            <w:tcW w:w="2340" w:type="dxa"/>
          </w:tcPr>
          <w:p>
            <w:pPr/>
            <w:r>
              <w:t xml:space="preserve">n/a</w:t>
            </w:r>
          </w:p>
        </w:tc>
        <w:tc>
          <w:tcPr>
            <w:tcW w:w="2340" w:type="dxa"/>
          </w:tcPr>
          <w:p>
            <w:pPr/>
            <w:r>
              <w:t xml:space="preserve">n/a</w:t>
            </w:r>
          </w:p>
        </w:tc>
      </w:tr>
    </w:tbl>
    <w:p>
      <w:pPr/>
      <w:r>
        <w:t xml:space="preserve">Export images in WebP under 150 KB, 1200 px wide, and fill the image title with the same text as the alt.</w:t>
      </w:r>
    </w:p>
    <w:p>
      <w:pPr>
        <w:pStyle w:val="Heading2"/>
      </w:pPr>
      <w:r>
        <w:t xml:space="preserve">Section B: Blog Content for Attorney Review</w:t>
      </w:r>
    </w:p>
    <w:p>
      <w:pPr/>
      <w:r>
        <w:t xml:space="preserve">Plain copy ready for the CMS; bracketed markers show where links, the TOC block and images go.</w:t>
      </w:r>
    </w:p>
    <w:p>
      <w:pPr/>
      <w:r>
        <w:rPr>
          <w:b/>
        </w:rPr>
        <w:t xml:space="preserve">H1:</w:t>
      </w:r>
      <w:r>
        <w:t xml:space="preserve"> Panama Residency by Investment Program: What Changed in 2026</w:t>
      </w:r>
    </w:p>
    <w:p>
      <w:pPr/>
      <w:r>
        <w:t xml:space="preserve">Official resource: Executive Decree No. 17 of September 8, 2026 (Official Gazette No. 30613), full text in PDF [LINK: decree PDF]</w:t>
      </w:r>
    </w:p>
    <w:p>
      <w:pPr/>
      <w:r>
        <w:t xml:space="preserve">The Panama residency by investment program has officially changed. For months, investors and developers heard rumors that the minimum investment would rise, but nothing had been confirmed in writing. That uncertainty ended with Executive Decree No. 17 of September 8, 2026, published in the </w:t>
      </w:r>
      <w:hyperlink r:id="rId3" w:history="1">
        <w:r>
          <w:rPr>
            <w:rStyle w:val="Hyperlink"/>
          </w:rPr>
          <w:t xml:space="preserve">Official Gazette of Panama</w:t>
        </w:r>
      </w:hyperlink>
      <w:r>
        <w:t xml:space="preserve"> on September 16, 2026.</w:t>
      </w:r>
    </w:p>
    <w:p>
      <w:pPr/>
      <w:r>
        <w:t xml:space="preserve">The new decree replaces Executive Decree No. 722 of 2020 and its amendments, the framework that created the Panama residency by investment program for Qualified Investors. It sets different thresholds for new and resale properties, adds a lower deposit option in state banks, tightens pre-construction rules, and introduces new benefits for families.</w:t>
      </w:r>
    </w:p>
    <w:p>
      <w:pPr/>
      <w:r>
        <w:t xml:space="preserve">At NDM Law Firm &amp; Associates, our immigration attorneys have analyzed the full text. This guide explains what changed, why it changed, and how it affects investors who see Panama as a safe place to protect their wealth. For the broader picture of the visa itself, read our Panama Golden Visa 2026 update [LINK: Golden Visa update post].</w:t>
      </w:r>
    </w:p>
    <w:p>
      <w:pPr/>
      <w:r>
        <w:t xml:space="preserve">[TABLE OF CONTENTS]</w:t>
      </w:r>
    </w:p>
    <w:p>
      <w:pPr/>
      <w:r>
        <w:t xml:space="preserve">[IMAGE 1]</w:t>
      </w:r>
    </w:p>
    <w:p>
      <w:pPr>
        <w:pStyle w:val="Heading2"/>
      </w:pPr>
      <w:r>
        <w:t xml:space="preserve">Why the Panama Residency by Investment Program Changed in 2026</w:t>
      </w:r>
    </w:p>
    <w:p>
      <w:pPr>
        <w:pStyle w:val="Heading3"/>
      </w:pPr>
      <w:r>
        <w:t xml:space="preserve">From Market Rumors to an Official Decree</w:t>
      </w:r>
    </w:p>
    <w:p>
      <w:pPr/>
      <w:r>
        <w:t xml:space="preserve">For most of 2026, the real estate market anticipated a higher minimum investment. Some buyers rushed to close transactions, while others postponed decisions until the rules were clear.</w:t>
      </w:r>
    </w:p>
    <w:p>
      <w:pPr/>
      <w:r>
        <w:t xml:space="preserve">Until September 2026, the $300,000 real estate threshold set by Executive Decree No. 193 of 2024 applied to all property types. Decree 17 now gives an official answer: the $300,000 threshold survives, but only for new properties.</w:t>
      </w:r>
    </w:p>
    <w:p>
      <w:pPr>
        <w:pStyle w:val="Heading3"/>
      </w:pPr>
      <w:r>
        <w:t xml:space="preserve">The Government's Stated Objectives</w:t>
      </w:r>
    </w:p>
    <w:p>
      <w:pPr/>
      <w:r>
        <w:t xml:space="preserve">According to the decree's recitals, the reform pursues five goals:</w:t>
      </w:r>
    </w:p>
    <w:p>
      <w:pPr>
        <w:pStyle w:val="ListParagraph"/>
        <w:numPr>
          <w:ilvl w:val="0"/>
          <w:numId w:val="10"/>
        </w:numPr>
      </w:pPr>
      <w:r>
        <w:t xml:space="preserve">Reactivate construction by favoring new inventory over resale transactions, which create fewer jobs.</w:t>
      </w:r>
    </w:p>
    <w:p>
      <w:pPr>
        <w:pStyle w:val="ListParagraph"/>
        <w:numPr>
          <w:ilvl w:val="0"/>
          <w:numId w:val="10"/>
        </w:numPr>
      </w:pPr>
      <w:r>
        <w:t xml:space="preserve">Protect investors who buy pre-construction units from developer defaults.</w:t>
      </w:r>
    </w:p>
    <w:p>
      <w:pPr>
        <w:pStyle w:val="ListParagraph"/>
        <w:numPr>
          <w:ilvl w:val="0"/>
          <w:numId w:val="10"/>
        </w:numPr>
      </w:pPr>
      <w:r>
        <w:t xml:space="preserve">Prevent inflated valuations used to reach the minimum amount.</w:t>
      </w:r>
    </w:p>
    <w:p>
      <w:pPr>
        <w:pStyle w:val="ListParagraph"/>
        <w:numPr>
          <w:ilvl w:val="0"/>
          <w:numId w:val="10"/>
        </w:numPr>
      </w:pPr>
      <w:r>
        <w:t xml:space="preserve">Strengthen the lending capacity of Banco Nacional de Panamá and Caja de Ahorros.</w:t>
      </w:r>
    </w:p>
    <w:p>
      <w:pPr>
        <w:pStyle w:val="ListParagraph"/>
        <w:numPr>
          <w:ilvl w:val="0"/>
          <w:numId w:val="10"/>
        </w:numPr>
      </w:pPr>
      <w:r>
        <w:t xml:space="preserve">Unify every rule of the Panama residency by investment program in a single legal instrument.</w:t>
      </w:r>
    </w:p>
    <w:p>
      <w:pPr>
        <w:pStyle w:val="Heading2"/>
      </w:pPr>
      <w:r>
        <w:t xml:space="preserve">Real Estate Rules in the Panama Residency by Investment Program</w:t>
      </w:r>
    </w:p>
    <w:p>
      <w:pPr>
        <w:pStyle w:val="Heading3"/>
      </w:pPr>
      <w:r>
        <w:t xml:space="preserve">New Property: $300,000 Minimum</w:t>
      </w:r>
    </w:p>
    <w:p>
      <w:pPr/>
      <w:r>
        <w:t xml:space="preserve">A new property qualifies with a minimum investment of $300,000. It must be a first sale: a new, unoccupied unit transferred by the developer or promoter.</w:t>
      </w:r>
    </w:p>
    <w:p>
      <w:pPr/>
      <w:r>
        <w:t xml:space="preserve">Segregation, improvement declarations, contributions to a trust, or corporate reorganizations do not remove first sale status, as long as the unit was not sold to an unrelated third party. Proof includes a Public Registry certificate and, where applicable, construction or occupancy permits.</w:t>
      </w:r>
    </w:p>
    <w:p>
      <w:pPr/>
      <w:r>
        <w:t xml:space="preserve">[IMAGE 2]</w:t>
      </w:r>
    </w:p>
    <w:p>
      <w:pPr>
        <w:pStyle w:val="Heading3"/>
      </w:pPr>
      <w:r>
        <w:t xml:space="preserve">Does a $300,000 Resale Property Still Qualify?</w:t>
      </w:r>
    </w:p>
    <w:p>
      <w:pPr/>
      <w:r>
        <w:t xml:space="preserve">No. Under the updated Panama residency by investment program, resale properties require a minimum of $500,000. A resale property is any unit previously sold, occupied, leased, or transferred to an unrelated third party.</w:t>
      </w:r>
    </w:p>
    <w:p>
      <w:pPr/>
      <w:r>
        <w:t xml:space="preserve">Authorities may disregard simulated transactions designed to avoid the higher threshold. The only relief is the transitional rule for investments completed before the decree, explained below.</w:t>
      </w:r>
    </w:p>
    <w:p>
      <w:pPr>
        <w:pStyle w:val="Heading3"/>
      </w:pPr>
      <w:r>
        <w:t xml:space="preserve">How the Property Value Is Now Verified</w:t>
      </w:r>
    </w:p>
    <w:p>
      <w:pPr/>
      <w:r>
        <w:t xml:space="preserve">The qualifying value is the lower of the price actually paid and the supported commercial value, minus any liens. You may finance the portion above the minimum, provided the net value never falls below the threshold.</w:t>
      </w:r>
    </w:p>
    <w:p>
      <w:pPr/>
      <w:r>
        <w:t xml:space="preserve">The cadastral certificate from </w:t>
      </w:r>
      <w:hyperlink r:id="rId4" w:history="1">
        <w:r>
          <w:rPr>
            <w:rStyle w:val="Hyperlink"/>
          </w:rPr>
          <w:t xml:space="preserve">ANATI</w:t>
        </w:r>
      </w:hyperlink>
      <w:r>
        <w:t xml:space="preserve"> remains mandatory. The </w:t>
      </w:r>
      <w:hyperlink r:id="rId5" w:history="1">
        <w:r>
          <w:rPr>
            <w:rStyle w:val="Hyperlink"/>
          </w:rPr>
          <w:t xml:space="preserve">Ministry of Commerce and Industries (MICI)</w:t>
        </w:r>
      </w:hyperlink>
      <w:r>
        <w:t xml:space="preserve"> may now request an independent appraisal when there is reasonable doubt about the declared value.</w:t>
      </w:r>
    </w:p>
    <w:p>
      <w:pPr/>
      <w:r>
        <w:t xml:space="preserve">That appraisal must be less than six months old, signed by an appraiser recognized by Banco Nacional and Caja de Ahorros, and paid by the applicant. Before signing any contract, a full real estate due diligence [LINK: real estate due diligence page] review helps confirm title, value, and developer compliance.</w:t>
      </w:r>
    </w:p>
    <w:p>
      <w:pPr>
        <w:pStyle w:val="Heading3"/>
      </w:pPr>
      <w:r>
        <w:t xml:space="preserve">Pre-Construction Purchases: New Bank Guarantee Rules</w:t>
      </w:r>
    </w:p>
    <w:p>
      <w:pPr/>
      <w:r>
        <w:t xml:space="preserve">Pre-construction units still qualify at $300,000 through a promise to purchase agreement. The investment may be structured in two ways:</w:t>
      </w:r>
    </w:p>
    <w:p>
      <w:pPr>
        <w:pStyle w:val="ListParagraph"/>
        <w:numPr>
          <w:ilvl w:val="0"/>
          <w:numId w:val="11"/>
        </w:numPr>
      </w:pPr>
      <w:r>
        <w:t xml:space="preserve">A trust deposit with a bank or trust company licensed in Panama.</w:t>
      </w:r>
    </w:p>
    <w:p>
      <w:pPr>
        <w:pStyle w:val="ListParagraph"/>
        <w:numPr>
          <w:ilvl w:val="0"/>
          <w:numId w:val="11"/>
        </w:numPr>
      </w:pPr>
      <w:r>
        <w:t xml:space="preserve">Full payment to the developer, which must now be backed by an irrevocable bank instrument: a standby letter of credit, a bank guarantee, or a performance bond.</w:t>
      </w:r>
    </w:p>
    <w:p>
      <w:pPr/>
      <w:r>
        <w:t xml:space="preserve">The guarantee must cover the full amount invested and be renewed every year until the property is registered in your name. If the developer defaults, you have 180 business days to replace the investment.</w:t>
      </w:r>
    </w:p>
    <w:p>
      <w:pPr/>
      <w:r>
        <w:t xml:space="preserve">You may switch to a second promise agreement only once. In addition, residency supported only by promise agreements cannot exceed three years in total.</w:t>
      </w:r>
    </w:p>
    <w:p>
      <w:pPr>
        <w:pStyle w:val="Heading2"/>
      </w:pPr>
      <w:r>
        <w:t xml:space="preserve">Fixed-Term Deposits: A New Option From $500,000</w:t>
      </w:r>
    </w:p>
    <w:p>
      <w:pPr>
        <w:pStyle w:val="Heading3"/>
      </w:pPr>
      <w:r>
        <w:t xml:space="preserve">$750,000 in Private Banks</w:t>
      </w:r>
    </w:p>
    <w:p>
      <w:pPr/>
      <w:r>
        <w:t xml:space="preserve">A fixed-term deposit in any private bank licensed by the Superintendency of Banks still requires $750,000 under the Panama residency by investment program. This amount did not change.</w:t>
      </w:r>
    </w:p>
    <w:p>
      <w:pPr>
        <w:pStyle w:val="Heading3"/>
      </w:pPr>
      <w:r>
        <w:t xml:space="preserve">$500,000 in Banco Nacional or Caja de Ahorros</w:t>
      </w:r>
    </w:p>
    <w:p>
      <w:pPr/>
      <w:r>
        <w:t xml:space="preserve">The minimum drops to $500,000 when the deposit is placed directly with </w:t>
      </w:r>
      <w:hyperlink r:id="rId6" w:history="1">
        <w:r>
          <w:rPr>
            <w:rStyle w:val="Hyperlink"/>
          </w:rPr>
          <w:t xml:space="preserve">Banco Nacional de Panamá</w:t>
        </w:r>
      </w:hyperlink>
      <w:r>
        <w:t xml:space="preserve"> or </w:t>
      </w:r>
      <w:hyperlink r:id="rId7" w:history="1">
        <w:r>
          <w:rPr>
            <w:rStyle w:val="Hyperlink"/>
          </w:rPr>
          <w:t xml:space="preserve">Caja de Ahorros</w:t>
        </w:r>
      </w:hyperlink>
      <w:r>
        <w:t xml:space="preserve">. The government created this incentive within the Panama residency by investment program to fund agricultural and mortgage lending.</w:t>
      </w:r>
    </w:p>
    <w:p>
      <w:pPr/>
      <w:r>
        <w:t xml:space="preserve">In both cases, the deposit must:</w:t>
      </w:r>
    </w:p>
    <w:p>
      <w:pPr>
        <w:pStyle w:val="ListParagraph"/>
        <w:numPr>
          <w:ilvl w:val="0"/>
          <w:numId w:val="12"/>
        </w:numPr>
      </w:pPr>
      <w:r>
        <w:t xml:space="preserve">Be opened and funded by the foreign applicant as an individual.</w:t>
      </w:r>
    </w:p>
    <w:p>
      <w:pPr>
        <w:pStyle w:val="ListParagraph"/>
        <w:numPr>
          <w:ilvl w:val="0"/>
          <w:numId w:val="12"/>
        </w:numPr>
      </w:pPr>
      <w:r>
        <w:t xml:space="preserve">Remain in place for at least five uninterrupted years.</w:t>
      </w:r>
    </w:p>
    <w:p>
      <w:pPr>
        <w:pStyle w:val="ListParagraph"/>
        <w:numPr>
          <w:ilvl w:val="0"/>
          <w:numId w:val="12"/>
        </w:numPr>
      </w:pPr>
      <w:r>
        <w:t xml:space="preserve">Stay free of liens, pledges, or blocks.</w:t>
      </w:r>
    </w:p>
    <w:p>
      <w:pPr>
        <w:pStyle w:val="ListParagraph"/>
        <w:numPr>
          <w:ilvl w:val="0"/>
          <w:numId w:val="12"/>
        </w:numPr>
      </w:pPr>
      <w:r>
        <w:t xml:space="preserve">Be funded through international SWIFT transfers from an account in the applicant's name or a company where the applicant is the ultimate beneficial owner.</w:t>
      </w:r>
    </w:p>
    <w:p>
      <w:pPr>
        <w:pStyle w:val="Heading2"/>
      </w:pPr>
      <w:r>
        <w:t xml:space="preserve">Securities Investments in the Panamanian Market</w:t>
      </w:r>
    </w:p>
    <w:p>
      <w:pPr>
        <w:pStyle w:val="Heading3"/>
      </w:pPr>
      <w:r>
        <w:t xml:space="preserve">Minimum Amount and Holding Period</w:t>
      </w:r>
    </w:p>
    <w:p>
      <w:pPr/>
      <w:r>
        <w:t xml:space="preserve">The securities route of the Panama residency by investment program keeps its $500,000 minimum. The investment must be made through a brokerage firm licensed by the </w:t>
      </w:r>
      <w:hyperlink r:id="rId8" w:history="1">
        <w:r>
          <w:rPr>
            <w:rStyle w:val="Hyperlink"/>
          </w:rPr>
          <w:t xml:space="preserve">Superintendency of the Securities Market</w:t>
        </w:r>
      </w:hyperlink>
      <w:r>
        <w:t xml:space="preserve">.</w:t>
      </w:r>
    </w:p>
    <w:p>
      <w:pPr/>
      <w:r>
        <w:t xml:space="preserve">The decree now requires the capital to remain invested for at least five uninterrupted years.</w:t>
      </w:r>
    </w:p>
    <w:p>
      <w:pPr>
        <w:pStyle w:val="Heading3"/>
      </w:pPr>
      <w:r>
        <w:t xml:space="preserve">Eligible Instruments and Market Fluctuations</w:t>
      </w:r>
    </w:p>
    <w:p>
      <w:pPr/>
      <w:r>
        <w:t xml:space="preserve">Qualifying investments may combine:</w:t>
      </w:r>
    </w:p>
    <w:p>
      <w:pPr>
        <w:pStyle w:val="ListParagraph"/>
        <w:numPr>
          <w:ilvl w:val="0"/>
          <w:numId w:val="13"/>
        </w:numPr>
      </w:pPr>
      <w:r>
        <w:t xml:space="preserve">Private equity and venture capital funds that invest in Panamanian companies or infrastructure.</w:t>
      </w:r>
    </w:p>
    <w:p>
      <w:pPr>
        <w:pStyle w:val="ListParagraph"/>
        <w:numPr>
          <w:ilvl w:val="0"/>
          <w:numId w:val="13"/>
        </w:numPr>
      </w:pPr>
      <w:r>
        <w:t xml:space="preserve">Bonds, treasury notes, and other debt instruments issued by the Republic of Panama.</w:t>
      </w:r>
    </w:p>
    <w:p>
      <w:pPr>
        <w:pStyle w:val="ListParagraph"/>
        <w:numPr>
          <w:ilvl w:val="0"/>
          <w:numId w:val="13"/>
        </w:numPr>
      </w:pPr>
      <w:r>
        <w:t xml:space="preserve">Registered corporate securities, including shares, corporate bonds, mutual funds, and REITs.</w:t>
      </w:r>
    </w:p>
    <w:p>
      <w:pPr/>
      <w:r>
        <w:t xml:space="preserve">Market losses alone do not breach the minimum. If there are no voluntary withdrawals, sales, or pledges, the investor has 90 calendar days after MICI's notice to restore the amount.</w:t>
      </w:r>
    </w:p>
    <w:p>
      <w:pPr/>
      <w:r>
        <w:t xml:space="preserve">[IMAGE 3]</w:t>
      </w:r>
    </w:p>
    <w:p>
      <w:pPr>
        <w:pStyle w:val="Heading2"/>
      </w:pPr>
      <w:r>
        <w:t xml:space="preserve">Your Immigration Status Under the Panama Residency by Investment Program</w:t>
      </w:r>
    </w:p>
    <w:p>
      <w:pPr>
        <w:pStyle w:val="Heading3"/>
      </w:pPr>
      <w:r>
        <w:t xml:space="preserve">Can You Apply From Abroad?</w:t>
      </w:r>
    </w:p>
    <w:p>
      <w:pPr/>
      <w:r>
        <w:t xml:space="preserve">Yes. Applications under the Panama residency by investment program may be filed before entering Panama through a special attorney-in-fact. Biometric registration is required before the residency card is issued.</w:t>
      </w:r>
    </w:p>
    <w:p>
      <w:pPr/>
      <w:r>
        <w:t xml:space="preserve">The decree also sets maximum processing times:</w:t>
      </w:r>
    </w:p>
    <w:p>
      <w:pPr>
        <w:pStyle w:val="ListParagraph"/>
        <w:numPr>
          <w:ilvl w:val="0"/>
          <w:numId w:val="14"/>
        </w:numPr>
      </w:pPr>
      <w:r>
        <w:t xml:space="preserve">MICI issues the Investment Certificate within 15 business days of admitting the file. The certificate is valid for three months.</w:t>
      </w:r>
    </w:p>
    <w:p>
      <w:pPr>
        <w:pStyle w:val="ListParagraph"/>
        <w:numPr>
          <w:ilvl w:val="0"/>
          <w:numId w:val="14"/>
        </w:numPr>
      </w:pPr>
      <w:r>
        <w:t xml:space="preserve">The </w:t>
      </w:r>
      <w:hyperlink r:id="rId9" w:history="1">
        <w:r>
          <w:rPr>
            <w:rStyle w:val="Hyperlink"/>
          </w:rPr>
          <w:t xml:space="preserve">National Immigration Service</w:t>
        </w:r>
      </w:hyperlink>
      <w:r>
        <w:t xml:space="preserve"> resolves the application within 30 business days after receiving the complete file.</w:t>
      </w:r>
    </w:p>
    <w:p>
      <w:pPr>
        <w:pStyle w:val="ListParagraph"/>
        <w:numPr>
          <w:ilvl w:val="0"/>
          <w:numId w:val="14"/>
        </w:numPr>
      </w:pPr>
      <w:r>
        <w:t xml:space="preserve">Incomplete files must be corrected within 15 business days, or they are archived.</w:t>
      </w:r>
    </w:p>
    <w:p>
      <w:pPr/>
      <w:r>
        <w:t xml:space="preserve">Government fees are $5,000 for the application plus a $5,000 repatriation deposit, and $1,000 plus $1,000 for each dependent.</w:t>
      </w:r>
    </w:p>
    <w:p>
      <w:pPr>
        <w:pStyle w:val="Heading3"/>
      </w:pPr>
      <w:r>
        <w:t xml:space="preserve">How Do You Keep Your Residency?</w:t>
      </w:r>
    </w:p>
    <w:p>
      <w:pPr/>
      <w:r>
        <w:t xml:space="preserve">The investment must be maintained for at least five years. Through your attorney, you must prove it to MICI every year, within the 30 days before the anniversary of your residency resolution.</w:t>
      </w:r>
    </w:p>
    <w:p>
      <w:pPr/>
      <w:r>
        <w:t xml:space="preserve">If the investment ends or is sold early, you must notify MICI within 30 days. You then have 90 calendar days to reinvest, or the residency will be cancelled.</w:t>
      </w:r>
    </w:p>
    <w:p>
      <w:pPr>
        <w:pStyle w:val="Heading3"/>
      </w:pPr>
      <w:r>
        <w:t xml:space="preserve">A Path to Citizenship and New Dependents</w:t>
      </w:r>
    </w:p>
    <w:p>
      <w:pPr/>
      <w:r>
        <w:t xml:space="preserve">The decree expressly states that Qualified Investors and their dependents may apply for Panamanian citizenship by naturalization after five consecutive years of residency. This makes the Panama residency by investment program a long-term path, not only a residency permit. Learn more in our guide to </w:t>
      </w:r>
      <w:hyperlink r:id="rId10" w:history="1">
        <w:r>
          <w:rPr>
            <w:rStyle w:val="Hyperlink"/>
          </w:rPr>
          <w:t xml:space="preserve">citizenship in Panama</w:t>
        </w:r>
      </w:hyperlink>
      <w:r>
        <w:t xml:space="preserve">.</w:t>
      </w:r>
    </w:p>
    <w:p>
      <w:pPr/>
      <w:r>
        <w:t xml:space="preserve">Investors may also add children born or adopted after approval, and a spouse married after approval, as direct dependents. Divorce, the investor's death, or a child reaching adulthood does not trigger automatic cancellation. Each case is decided individually, with the right to be heard.</w:t>
      </w:r>
    </w:p>
    <w:p>
      <w:pPr/>
      <w:r>
        <w:t xml:space="preserve">Once approved, each family member receives a </w:t>
      </w:r>
      <w:hyperlink r:id="rId11" w:history="1">
        <w:r>
          <w:rPr>
            <w:rStyle w:val="Hyperlink"/>
          </w:rPr>
          <w:t xml:space="preserve">Panama permanent resident card</w:t>
        </w:r>
      </w:hyperlink>
      <w:r>
        <w:t xml:space="preserve">.</w:t>
      </w:r>
    </w:p>
    <w:p>
      <w:pPr>
        <w:pStyle w:val="Heading2"/>
      </w:pPr>
      <w:r>
        <w:t xml:space="preserve">Applications and Investments Made Before the Decree</w:t>
      </w:r>
    </w:p>
    <w:p>
      <w:pPr>
        <w:pStyle w:val="Heading3"/>
      </w:pPr>
      <w:r>
        <w:t xml:space="preserve">What Happens to Pending Applications?</w:t>
      </w:r>
    </w:p>
    <w:p>
      <w:pPr/>
      <w:r>
        <w:t xml:space="preserve">Applications filed with MICI or the National Immigration Service before the decree took effect follow the requirements and amounts in force when they were filed. More favorable procedural rules may still apply to them.</w:t>
      </w:r>
    </w:p>
    <w:p>
      <w:pPr/>
      <w:r>
        <w:t xml:space="preserve">Investment Certificates already issued under the previous Panama residency by investment program remain valid until they expire. The new appraisal rules will not be used to reopen certified investments, except where there are objective signs of fraud or illicit funds.</w:t>
      </w:r>
    </w:p>
    <w:p>
      <w:pPr>
        <w:pStyle w:val="Heading3"/>
      </w:pPr>
      <w:r>
        <w:t xml:space="preserve">The Six-Month Window for Prior Investments</w:t>
      </w:r>
    </w:p>
    <w:p>
      <w:pPr/>
      <w:r>
        <w:t xml:space="preserve">Under Article 19, investments and binding contracts completed before the decree may still use the previous Panama residency by investment program rules. The condition is to file the application within six months of the decree's entry into force.</w:t>
      </w:r>
    </w:p>
    <w:p>
      <w:pPr/>
      <w:r>
        <w:t xml:space="preserve">This matters most for resale buyers. An investor who completed a $300,000 resale purchase before the decree may still qualify under the old threshold, but only if the application is filed in time.</w:t>
      </w:r>
    </w:p>
    <w:p>
      <w:pPr>
        <w:pStyle w:val="Heading3"/>
      </w:pPr>
      <w:r>
        <w:t xml:space="preserve">Converting From Economic Solvency Residency</w:t>
      </w:r>
    </w:p>
    <w:p>
      <w:pPr/>
      <w:r>
        <w:t xml:space="preserve">Foreign nationals who hold or have applied for Permanent Residency for Economic Solvency may request a change to the Qualified Investor category within 12 months. They must meet the new minimum amounts, and investments made before October 15, 2020 are not eligible.</w:t>
      </w:r>
    </w:p>
    <w:p>
      <w:pPr>
        <w:pStyle w:val="Heading2"/>
      </w:pPr>
      <w:r>
        <w:t xml:space="preserve">Plan Your Investment With NDM Law Firm &amp; Associates</w:t>
      </w:r>
    </w:p>
    <w:p>
      <w:pPr>
        <w:pStyle w:val="Heading3"/>
      </w:pPr>
      <w:r>
        <w:t xml:space="preserve">Why Legal Guidance Matters More Now</w:t>
      </w:r>
    </w:p>
    <w:p>
      <w:pPr/>
      <w:r>
        <w:t xml:space="preserve">The updated Panama residency by investment program rewards careful planning. Choosing the wrong property type, missing the six-month window, or using undocumented funds can delay or prevent your residency.</w:t>
      </w:r>
    </w:p>
    <w:p>
      <w:pPr>
        <w:pStyle w:val="Heading3"/>
      </w:pPr>
      <w:r>
        <w:t xml:space="preserve">How Our Immigration Team Supports You</w:t>
      </w:r>
    </w:p>
    <w:p>
      <w:pPr/>
      <w:r>
        <w:t xml:space="preserve">With offices in Panama City, Boquete, and Venao, NDM Law Firm &amp; Associates guides investors through every stage:</w:t>
      </w:r>
    </w:p>
    <w:p>
      <w:pPr>
        <w:pStyle w:val="ListParagraph"/>
        <w:numPr>
          <w:ilvl w:val="0"/>
          <w:numId w:val="15"/>
        </w:numPr>
      </w:pPr>
      <w:r>
        <w:t xml:space="preserve">Selecting the right investment route for your goals.</w:t>
      </w:r>
    </w:p>
    <w:p>
      <w:pPr>
        <w:pStyle w:val="ListParagraph"/>
        <w:numPr>
          <w:ilvl w:val="0"/>
          <w:numId w:val="15"/>
        </w:numPr>
      </w:pPr>
      <w:r>
        <w:t xml:space="preserve">Real estate due diligence and review of developer guarantees.</w:t>
      </w:r>
    </w:p>
    <w:p>
      <w:pPr>
        <w:pStyle w:val="ListParagraph"/>
        <w:numPr>
          <w:ilvl w:val="0"/>
          <w:numId w:val="15"/>
        </w:numPr>
      </w:pPr>
      <w:r>
        <w:t xml:space="preserve">Source of funds documentation, apostilles, and translations.</w:t>
      </w:r>
    </w:p>
    <w:p>
      <w:pPr>
        <w:pStyle w:val="ListParagraph"/>
        <w:numPr>
          <w:ilvl w:val="0"/>
          <w:numId w:val="15"/>
        </w:numPr>
      </w:pPr>
      <w:r>
        <w:t xml:space="preserve">Investment Certificate, residency filing, and annual compliance.</w:t>
      </w:r>
    </w:p>
    <w:p>
      <w:pPr/>
      <w:r>
        <w:t xml:space="preserve">Contact our immigration attorneys [LINK: contact page] to review your case under the Panama residency by investment program before the transitional deadlines close. You can also explore our </w:t>
      </w:r>
      <w:hyperlink r:id="rId12" w:history="1">
        <w:r>
          <w:rPr>
            <w:rStyle w:val="Hyperlink"/>
          </w:rPr>
          <w:t xml:space="preserve">Panama residency visa services</w:t>
        </w:r>
      </w:hyperlink>
      <w:r>
        <w:t xml:space="preserve">.</w:t>
      </w:r>
    </w:p>
    <w:p>
      <w:pPr>
        <w:pStyle w:val="Heading2"/>
      </w:pPr>
      <w:r>
        <w:t xml:space="preserve">Attorney Review Checklist</w:t>
      </w:r>
    </w:p>
    <w:p>
      <w:pPr/>
      <w:r>
        <w:t xml:space="preserve">Five points in the copy rest on interpretation and should be confirmed by the immigration team before publishing.</w:t>
      </w:r>
    </w:p>
    <w:p>
      <w:pPr>
        <w:pStyle w:val="ListParagraph"/>
        <w:numPr>
          <w:ilvl w:val="0"/>
          <w:numId w:val="16"/>
        </w:numPr>
      </w:pPr>
      <w:r>
        <w:t xml:space="preserve">☐ Six-month window start date: the decree takes effect on promulgation. Confirm whether the count runs from September 8 (signature) or September 16, 2026 (Gazette), before any date appears in ads or follow-up content.</w:t>
      </w:r>
    </w:p>
    <w:p>
      <w:pPr>
        <w:pStyle w:val="ListParagraph"/>
        <w:numPr>
          <w:ilvl w:val="0"/>
          <w:numId w:val="16"/>
        </w:numPr>
      </w:pPr>
      <w:r>
        <w:t xml:space="preserve">☐ Scope of "binding contracts completed before the decree" (Article 19): does a signed but not fully paid promise agreement qualify?</w:t>
      </w:r>
    </w:p>
    <w:p>
      <w:pPr>
        <w:pStyle w:val="ListParagraph"/>
        <w:numPr>
          <w:ilvl w:val="0"/>
          <w:numId w:val="16"/>
        </w:numPr>
      </w:pPr>
      <w:r>
        <w:t xml:space="preserve">☐ Residents already approved under Decree 722: confirm whether the new annual compliance, bank guarantee and three-year promise cap apply to them.</w:t>
      </w:r>
    </w:p>
    <w:p>
      <w:pPr>
        <w:pStyle w:val="ListParagraph"/>
        <w:numPr>
          <w:ilvl w:val="0"/>
          <w:numId w:val="16"/>
        </w:numPr>
      </w:pPr>
      <w:r>
        <w:t xml:space="preserve">☐ Prior framework references: the copy states that Decree 193 of 2024 applied $300,000 to all property types and that the private bank deposit stayed at $750,000. Verify against the firm's records.</w:t>
      </w:r>
    </w:p>
    <w:p>
      <w:pPr>
        <w:pStyle w:val="ListParagraph"/>
        <w:numPr>
          <w:ilvl w:val="0"/>
          <w:numId w:val="16"/>
        </w:numPr>
      </w:pPr>
      <w:r>
        <w:t xml:space="preserve">☐ Citizenship wording: confirm the phrasing "expressly states" is acceptable and that no guarantee of naturalization is implied.</w:t>
      </w:r>
    </w:p>
    <w:p>
      <w:pPr>
        <w:pStyle w:val="ListParagraph"/>
        <w:numPr>
          <w:ilvl w:val="0"/>
          <w:numId w:val="16"/>
        </w:numPr>
      </w:pPr>
      <w:r>
        <w:t xml:space="preserve">☐ Pending URLs: decree PDF, Golden Visa update post, real estate due diligence page and contact page.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1">
      <w:startOverride w:val="1"/>
    </w:lvlOverride>
  </w:num>
  <w:num w:numId="4">
    <w:abstractNumId w:val="1"/>
    <w:lvlOverride w:ilvl="1">
      <w:startOverride w:val="1"/>
    </w:lvlOverride>
  </w:num>
  <w:num w:numId="5">
    <w:abstractNumId w:val="1"/>
    <w:lvlOverride w:ilvl="1">
      <w:startOverride w:val="1"/>
    </w:lvlOverride>
  </w:num>
  <w:num w:numId="6">
    <w:abstractNumId w:val="1"/>
    <w:lvlOverride w:ilvl="1">
      <w:startOverride w:val="1"/>
    </w:lvlOverride>
  </w:num>
  <w:num w:numId="7">
    <w:abstractNumId w:val="1"/>
    <w:lvlOverride w:ilvl="1">
      <w:startOverride w:val="1"/>
    </w:lvlOverride>
  </w:num>
  <w:num w:numId="8">
    <w:abstractNumId w:val="1"/>
    <w:lvlOverride w:ilvl="1">
      <w:startOverride w:val="1"/>
    </w:lvlOverride>
  </w:num>
  <w:num w:numId="9">
    <w:abstractNumId w:val="1"/>
    <w:lvlOverride w:ilvl="1">
      <w:startOverride w:val="1"/>
    </w:lvlOverride>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www.gacetaoficial.gob.pa/" TargetMode="External"/><Relationship Id="rId4" Type="http://schemas.openxmlformats.org/officeDocument/2006/relationships/hyperlink" Target="https://anati.gob.pa/" TargetMode="External"/><Relationship Id="rId5" Type="http://schemas.openxmlformats.org/officeDocument/2006/relationships/hyperlink" Target="https://mici.gob.pa/" TargetMode="External"/><Relationship Id="rId6" Type="http://schemas.openxmlformats.org/officeDocument/2006/relationships/hyperlink" Target="https://www.banconal.com.pa/" TargetMode="External"/><Relationship Id="rId7" Type="http://schemas.openxmlformats.org/officeDocument/2006/relationships/hyperlink" Target="https://www.cajadeahorros.com.pa/" TargetMode="External"/><Relationship Id="rId8" Type="http://schemas.openxmlformats.org/officeDocument/2006/relationships/hyperlink" Target="https://supervalores.gob.pa/" TargetMode="External"/><Relationship Id="rId9" Type="http://schemas.openxmlformats.org/officeDocument/2006/relationships/hyperlink" Target="https://www.migracion.gob.pa/" TargetMode="External"/><Relationship Id="rId10" Type="http://schemas.openxmlformats.org/officeDocument/2006/relationships/hyperlink" Target="https://ndm.com.pa/citizenship-in-panama/" TargetMode="External"/><Relationship Id="rId11" Type="http://schemas.openxmlformats.org/officeDocument/2006/relationships/hyperlink" Target="https://ndm.com.pa/permanent-resident-card/" TargetMode="External"/><Relationship Id="rId12" Type="http://schemas.openxmlformats.org/officeDocument/2006/relationships/hyperlink" Target="https://ndm.com.pa/legal-services/labor-immigration-law/panama-residency-visa/"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Blog Panama Residency by Investment Program (Decree 17 of 2026)</dc:title>
  <dc:description>Claude Docs node/ecfafc1f-70c5@4 docx-w5</dc:description>
  <cp:revision>4</cp:revision>
</cp:coreProperties>
</file>